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0" w:before="0" w:line="276" w:lineRule="auto"/>
        <w:jc w:val="cente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„Zapytanie Ofertowe nr NCBR/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01/2024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z dn.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5.01.2024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400" w:lineRule="auto"/>
        <w:jc w:val="left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Kierując się zasadą uczciwej konkurencji i równego traktowania wykonawców, a także zasadą efektywnego zarządzania finansami, zwracamy się z prośbą o przedstawienie oferty cenowej </w:t>
        <w:br w:type="textWrapping"/>
        <w:t xml:space="preserve">na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Koordynatora organizacji wydarzenia  – zatrudnienie na podstawie umowy </w:t>
        <w:br w:type="textWrapping"/>
        <w:t xml:space="preserve">cywilno-prawnej na potrzeby realizacji projektu pt. „Poprawa dostępności do kultury oraz aktywizacja osób niepełnosprawnych i wykluczonych społecznie” finansowanego w ramach GOSPOSTRATEG VI/0022/2021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Nie stosuje się przepisów w rozumieniu ustawy z dnia 11 września 2019 r. prawo zamówień publicznych.</w:t>
      </w:r>
    </w:p>
    <w:p w:rsidR="00000000" w:rsidDel="00000000" w:rsidP="00000000" w:rsidRDefault="00000000" w:rsidRPr="00000000" w14:paraId="00000003">
      <w:pPr>
        <w:tabs>
          <w:tab w:val="left" w:leader="none" w:pos="142"/>
        </w:tabs>
        <w:spacing w:after="160" w:before="0" w:lineRule="auto"/>
        <w:jc w:val="left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I. Zamawiający: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Fundacja Widzimy Inaczej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Ul. Anielewicza 18/31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0" w:before="0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01-032 Warszawa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before="0" w:lineRule="auto"/>
        <w:jc w:val="left"/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II.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Opis przedmiotu zamówienia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400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Koordynator organizacji wydarzenia  – zatrudnienie na podstawie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umowy cywilno-prawnej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 potrzeby realizacji projektu pt. „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Poprawa dostępności do kultury oraz aktywizacja osób niepełnosprawnych i wykluczonych społecznie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” finansowanego w ramach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GOSPOSTRATEG VI/0022/2021. </w:t>
      </w:r>
    </w:p>
    <w:p w:rsidR="00000000" w:rsidDel="00000000" w:rsidP="00000000" w:rsidRDefault="00000000" w:rsidRPr="00000000" w14:paraId="00000009">
      <w:pPr>
        <w:spacing w:after="0" w:before="0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Warunki realizacji zamówienia: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wsparcie Zamawiającego  przy organizacji i w czasie konferencji. Udział w wydarzeniach w terminach wskazanych przez Zamawiającego w okresie do 30.06.2024 roku,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tworzenie listy gości,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utrzymywania bieżącego kontaktu z gośćmi, w tym wysyłania zaproszeń, potwierdzania obecności oraz odpowiadania na wszelkie zapytania z ich strony,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sprawdzenie dostępności i przygotowanie wyposażenia niezbędnego do realizacji wydarzenia typu: ekran, rzutnik, krzesła, stoły, sala itp.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rozstawienie i złożenie wyposażenia, elementów wystawy oraz materiałów promocyjnych (baner, roll-up, ulotki, stoiska wystawowe itp.),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wyszukanie odpowiedniego cateringu, przygotowanie ofert i zamówienie po akceptacji Zamawiającego,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realizacja dodatkowych zadań niezbędnych do realizacji wydarzenia wskazanych przez Zamawiającego,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koordynacja współpracy z partnerami i podwykonawcami,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="240" w:lineRule="auto"/>
        <w:ind w:left="714" w:hanging="357"/>
        <w:jc w:val="left"/>
        <w:rPr/>
      </w:pPr>
      <w:r w:rsidDel="00000000" w:rsidR="00000000" w:rsidRPr="00000000">
        <w:rPr>
          <w:rFonts w:ascii="Calibri" w:cs="Calibri" w:eastAsia="Calibri" w:hAnsi="Calibri"/>
          <w:color w:val="333333"/>
          <w:sz w:val="22"/>
          <w:szCs w:val="22"/>
          <w:rtl w:val="0"/>
        </w:rPr>
        <w:t xml:space="preserve">tworzenie grafik promocyjnych.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ind w:left="72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Wymagania: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59" w:lineRule="auto"/>
        <w:ind w:left="720" w:hanging="360"/>
        <w:jc w:val="left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wykształcenie minimum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średnie,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before="0" w:line="259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umiejętność planowania i zarządzania procesem wydarzeń,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59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operatywność i umiejętność pracy pod presją czasu,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59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komunikatywność i umiejętność budowania relacji z partnerami wydarzenia,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59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umiejętność pracy w zespole,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="259" w:lineRule="auto"/>
        <w:ind w:left="720" w:hanging="360"/>
        <w:jc w:val="left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umiejętność obsługi komputera, programów typu excel, word i powerpoint.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400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Zamawiający wymaga przesłania CV w formie załącznika.</w:t>
      </w:r>
    </w:p>
    <w:p w:rsidR="00000000" w:rsidDel="00000000" w:rsidP="00000000" w:rsidRDefault="00000000" w:rsidRPr="00000000" w14:paraId="0000001C">
      <w:pPr>
        <w:spacing w:after="0" w:before="0" w:lineRule="auto"/>
        <w:jc w:val="lef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III Terminy realizacji zamówienia</w:t>
      </w:r>
    </w:p>
    <w:p w:rsidR="00000000" w:rsidDel="00000000" w:rsidP="00000000" w:rsidRDefault="00000000" w:rsidRPr="00000000" w14:paraId="0000001D">
      <w:pPr>
        <w:spacing w:after="160" w:before="0" w:line="276" w:lineRule="auto"/>
        <w:jc w:val="lef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Termin realizacji przedmiotu Zamówienia: do 30 czerwca 2024 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before="0" w:line="276" w:lineRule="auto"/>
        <w:jc w:val="lef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IV Tryb i termin składania ofert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before="0" w:line="30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Oferta powinna zawierać Formularz ofertowy stanowiący Załącznik nr 1 oraz inne wymagane załączniki.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16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Oferty w odpowiedzi na zapytanie należy złożyć w formie elektronicznej (skan podpisanego dokumentu lub dokumenty podpisane kwalifikowanym podpisem elektronicznym) na adres mailowy: biuro@widzimyinaczej.org.pl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Oferty należy składać do 12 stycznia 2024 r. do godz. 16:00. Oferty złożone po tym terminie nie będą rozpatrywane. </w:t>
      </w:r>
    </w:p>
    <w:p w:rsidR="00000000" w:rsidDel="00000000" w:rsidP="00000000" w:rsidRDefault="00000000" w:rsidRPr="00000000" w14:paraId="00000023">
      <w:pPr>
        <w:spacing w:after="160" w:before="0" w:line="276" w:lineRule="auto"/>
        <w:jc w:val="left"/>
        <w:rPr>
          <w:rFonts w:ascii="Calibri" w:cs="Calibri" w:eastAsia="Calibri" w:hAnsi="Calibri"/>
          <w:sz w:val="22"/>
          <w:szCs w:val="22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V. Wymagania wobec oferenta</w:t>
      </w:r>
    </w:p>
    <w:p w:rsidR="00000000" w:rsidDel="00000000" w:rsidP="00000000" w:rsidRDefault="00000000" w:rsidRPr="00000000" w14:paraId="00000025">
      <w:pPr>
        <w:jc w:val="left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OŚWIADCZENIA I DOKUMENTY POTWIERDZAJĄCE SPEŁNIANIE WARUNKÓW UDZIAŁU: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before="0"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Wykonawca na potwierdzenie spełniania warunków udziału w postępowaniu składa wraz z ofertą następujące dokumenty i oświadczenia: 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0" w:before="0" w:line="24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Formularz ofertowy stanowiący załącznik nr 1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before="0" w:line="24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Oświadczenie o braku powiązań stanowiący załącznik nr 2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before="0" w:line="24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CV</w:t>
      </w:r>
    </w:p>
    <w:p w:rsidR="00000000" w:rsidDel="00000000" w:rsidP="00000000" w:rsidRDefault="00000000" w:rsidRPr="00000000" w14:paraId="0000002A">
      <w:pPr>
        <w:spacing w:after="0" w:before="0" w:line="240" w:lineRule="auto"/>
        <w:ind w:left="72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before="0"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W przypadku, gdy Wykonawca przy wykazywaniu spełniania warunków udziału w postępowaniu będzie powoływał się na potencjał innych podmiotów, które będą brały udział w realizacji części zamówienia, przedkłada także oświadczenie dotyczące tego podmiotu w zakresie wymaganym dla Wykonawcy,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before="0" w:lineRule="auto"/>
        <w:jc w:val="lef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VII. Kryteria oceny oferty:</w:t>
      </w:r>
    </w:p>
    <w:p w:rsidR="00000000" w:rsidDel="00000000" w:rsidP="00000000" w:rsidRDefault="00000000" w:rsidRPr="00000000" w14:paraId="0000002D">
      <w:pPr>
        <w:spacing w:after="200" w:before="0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Wybór oferty zostanie dokonany na podstawie jednego kryterium: ceny oferty: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before="0" w:line="240" w:lineRule="auto"/>
        <w:ind w:left="720" w:hanging="36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Wzór określający kryterium wyboru ma postać: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0" w:line="276" w:lineRule="auto"/>
        <w:jc w:val="left"/>
        <w:rPr>
          <w:rFonts w:ascii="Calibri" w:cs="Calibri" w:eastAsia="Calibri" w:hAnsi="Calibri"/>
          <w:color w:val="548dd4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548dd4"/>
          <w:sz w:val="22"/>
          <w:szCs w:val="22"/>
          <w:rtl w:val="0"/>
        </w:rPr>
        <w:t xml:space="preserve">Liczba punktów = (cena minimalna / cena ofertowa) * 100 pkt.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before="0" w:line="240" w:lineRule="auto"/>
        <w:ind w:left="720" w:hanging="36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 najkorzystniejszą zostanie uznana oferta, która nie podlega odrzuceniu oraz uzyska największą liczbę punktów. Pod uwagę będą brane liczby po zaokrągleniu do dwóch miejsc po przecinku.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before="0" w:line="240" w:lineRule="auto"/>
        <w:ind w:left="720" w:hanging="36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Jeżeli w zapytaniu ofertowym, w którym jedynym kryterium oceny ofert jest cena, nie można dokonać wyboru oferty najkorzystniejszej ze względu na to, że zostały złożone oferty o takiej samej cenie, Zamawiający wezwie Wykonawców, którzy złożyli te oferty, do złożenia w terminie określonym przez Zamawiającego ofert dodatkowych.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before="0" w:line="240" w:lineRule="auto"/>
        <w:ind w:left="720" w:hanging="36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Wykonawcy, którzy złożą ofert dodatkowe nie mogą zaoferować cen wyższych niż zaoferowane w złożonych ofertach.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before="0" w:line="276" w:lineRule="auto"/>
        <w:jc w:val="left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VIII. Załączniki: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before="0"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Załącznik nr 1 - Formularz oferty</w:t>
      </w:r>
    </w:p>
    <w:p w:rsidR="00000000" w:rsidDel="00000000" w:rsidP="00000000" w:rsidRDefault="00000000" w:rsidRPr="00000000" w14:paraId="00000035">
      <w:pPr>
        <w:spacing w:after="200" w:before="0"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Załącznik nr 2 – Oświadczenie o braku powiązań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="276" w:lineRule="auto"/>
        <w:jc w:val="lef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IX. RODO:</w:t>
      </w:r>
    </w:p>
    <w:bookmarkStart w:colFirst="0" w:colLast="0" w:name="bookmark=kix.gdop38ezpx8v" w:id="2"/>
    <w:bookmarkEnd w:id="2"/>
    <w:p w:rsidR="00000000" w:rsidDel="00000000" w:rsidP="00000000" w:rsidRDefault="00000000" w:rsidRPr="00000000" w14:paraId="00000037">
      <w:pPr>
        <w:widowControl w:val="0"/>
        <w:spacing w:after="180" w:before="0"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Klauzula informacyjna do zapytania ofertowego/ informacje dot. ochrony danych osobowych</w:t>
      </w:r>
    </w:p>
    <w:p w:rsidR="00000000" w:rsidDel="00000000" w:rsidP="00000000" w:rsidRDefault="00000000" w:rsidRPr="00000000" w14:paraId="00000038">
      <w:pPr>
        <w:spacing w:after="180" w:before="0" w:line="240" w:lineRule="auto"/>
        <w:jc w:val="left"/>
        <w:rPr/>
      </w:pPr>
      <w:bookmarkStart w:colFirst="0" w:colLast="0" w:name="_heading=h.30j0zll" w:id="3"/>
      <w:bookmarkEnd w:id="3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dotycząca danych osobowych pozyskanych przez Zamawiającego -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 Fundację Widzimy Inaczej z siedzibą w Warszawie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60" w:before="0"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0"/>
        </w:numPr>
        <w:tabs>
          <w:tab w:val="left" w:leader="none" w:pos="202"/>
        </w:tabs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Administratorem Pani/Pana danych osobowych zawartych w ofercie oraz wszelkich innych składanych dokumentach  jest Fundacja Widzimy Inaczej, siedziba: ul. Anielewicza 18/31, 01-032 Warszawa, e-mail: biuro@widzimyinaczej.org.pl</w:t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0"/>
        </w:numPr>
        <w:tabs>
          <w:tab w:val="left" w:leader="none" w:pos="207"/>
        </w:tabs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Administrator wyznaczył osobę pełniącą zadania Inspektora Ochrony Danych Osobowych i można się z nim skontaktować poprzez adres e-mail: iod@widzimyinaczej.org.pl</w:t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0"/>
        </w:numPr>
        <w:tabs>
          <w:tab w:val="left" w:leader="none" w:pos="202"/>
        </w:tabs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Ww. dane osobowe przetwarzane będą na podstawie art. 6 ust. 1 lit. c RODO w celu związanym z przedmiotowym postępowaniem, którego wartość nie przekracza 130 000 zł netto, wyłączonym ze stosowania przepisów ustawy z dnia 11 września 2019 r. Prawo zamówień publicznych (Dz. U. z 2019 poz. 2019 z późn. zm.) prowadzonym w trybie zapytania ofertowego, jak też - jeżeli do tego dojdzie - zawarcia czy wykonania umowy w sprawie realizacji zamówienia stanowiącego przedmiot postępowania.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0"/>
        </w:numPr>
        <w:tabs>
          <w:tab w:val="left" w:leader="none" w:pos="207"/>
        </w:tabs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Odbiorcami danych osobowych mogą być instytucje administracji publicznej, ze środków których finansowane jest zamówienie stanowiące przedmiot zamówienia, powołani biegli zewnętrzni - a w granicach celów ustalonych powyżej - również zewnętrzne kancelarie lub osoby świadczące usługi prawne, a także osoby lub podmioty, którym udostępniona zostanie dokumentacja postępowania w oparciu o przepisy obowiązującego prawa, w szczególności przepisy ustawy z 26 września 2001 r. o dostępie do informacji publicznej (tj. Dz.U.2018.1330 ze zm).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0"/>
        </w:numPr>
        <w:tabs>
          <w:tab w:val="left" w:leader="none" w:pos="198"/>
        </w:tabs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Ww. dane osobowe będą przechowywane: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5"/>
        </w:numPr>
        <w:tabs>
          <w:tab w:val="left" w:leader="none" w:pos="193"/>
        </w:tabs>
        <w:spacing w:after="0" w:before="0" w:line="276" w:lineRule="auto"/>
        <w:ind w:left="1134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przez okres 4 lat od dnia zakończenia postępowania o udzielenie zamówienia, a jeżeli czas trwania umowy przekracza 4 lata okres przechowywania obejmuje cały okres trwania umowy;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5"/>
        </w:numPr>
        <w:tabs>
          <w:tab w:val="left" w:leader="none" w:pos="188"/>
        </w:tabs>
        <w:spacing w:after="0" w:before="0" w:line="276" w:lineRule="auto"/>
        <w:ind w:left="1134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okres przedawnienia roszczeń.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10"/>
        </w:numPr>
        <w:tabs>
          <w:tab w:val="left" w:leader="none" w:pos="202"/>
        </w:tabs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 odniesieniu do ww. danych osobowych decyzje nie będą podejmowane w sposób zautomatyzowany, stosowanie do art. 22 RODO;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10"/>
        </w:numPr>
        <w:tabs>
          <w:tab w:val="left" w:leader="none" w:pos="202"/>
        </w:tabs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Każda osoba fizyczna, której dane osobowe przekazano Zamawiającemu w ofercie i/lub innych dokumentach składanych przez Wykonawcę posiada: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8"/>
        </w:numPr>
        <w:tabs>
          <w:tab w:val="left" w:leader="none" w:pos="198"/>
        </w:tabs>
        <w:spacing w:after="0" w:before="0" w:line="276" w:lineRule="auto"/>
        <w:ind w:left="1134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 podstawie art. 15 RODO prawo dostępu do danych osobowych jej dotyczących;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8"/>
        </w:numPr>
        <w:tabs>
          <w:tab w:val="left" w:leader="none" w:pos="198"/>
        </w:tabs>
        <w:spacing w:after="0" w:before="0" w:line="276" w:lineRule="auto"/>
        <w:ind w:left="1134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 podstawie art. 16 RODO prawo do sprostowania jej danych osobowych*;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8"/>
        </w:numPr>
        <w:tabs>
          <w:tab w:val="left" w:leader="none" w:pos="202"/>
        </w:tabs>
        <w:spacing w:after="0" w:before="0" w:line="276" w:lineRule="auto"/>
        <w:ind w:left="1134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 podstawie art. 18 RODO prawo żądania od administratora ograniczenia przetwarzania danych osobowych z zastrzeżeniem przypadków, o których mowa w art. 18 ust. 2 RODO**;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8"/>
        </w:numPr>
        <w:tabs>
          <w:tab w:val="left" w:leader="none" w:pos="202"/>
        </w:tabs>
        <w:spacing w:after="0" w:before="0" w:line="276" w:lineRule="auto"/>
        <w:ind w:left="1134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prawo do wniesienia skargi do Prezesa Urzędu Ochrony Danych Osobowych, gdy uzna, że przetwarzanie danych osobowych jej dotyczących narusza przepisy RODO;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10"/>
        </w:numPr>
        <w:tabs>
          <w:tab w:val="left" w:leader="none" w:pos="202"/>
        </w:tabs>
        <w:spacing w:after="0" w:before="0" w:line="276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żadnej osobie fizycznej, której dane osobowe przekazano Zamawiającemu w ofercie i/lub innych dokumentach składanych przez Wykonawcę nie przysługuje: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7"/>
        </w:numPr>
        <w:tabs>
          <w:tab w:val="left" w:leader="none" w:pos="198"/>
        </w:tabs>
        <w:spacing w:after="0" w:before="0" w:line="276" w:lineRule="auto"/>
        <w:ind w:left="1276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 związku z art. 17 ust. 3 lit. b, d lub e RODO prawo do usunięcia danych osobowych;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7"/>
        </w:numPr>
        <w:tabs>
          <w:tab w:val="left" w:leader="none" w:pos="198"/>
        </w:tabs>
        <w:spacing w:after="0" w:before="0" w:line="276" w:lineRule="auto"/>
        <w:ind w:left="1276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prawo do przenoszenia danych osobowych, o którym mowa w art. 20 RODO;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7"/>
        </w:numPr>
        <w:tabs>
          <w:tab w:val="left" w:leader="none" w:pos="207"/>
        </w:tabs>
        <w:spacing w:after="184" w:before="0" w:line="276" w:lineRule="auto"/>
        <w:ind w:left="1276" w:hanging="360"/>
        <w:jc w:val="left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 podstawie art. 21 RODO prawo sprzeciwu, wobec przetwarzania danych osobowych, gdyż podstawą prawną przetwarzania jej danych osobowych jest art. 6 ust. 1 lit. c RODO.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160" w:before="0" w:line="276" w:lineRule="auto"/>
        <w:jc w:val="left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*Wyjaśnienie: skorzystanie z prawa do sprostowania nie może skutkować zmianą wyniku przedmiotowego postępowania ani zmianą postanowień umowy w zakresie niezgodnym z przepisami prawa stanowiącymi podstawę prowadzenia przedmiotowego postępowania.</w:t>
      </w:r>
    </w:p>
    <w:bookmarkStart w:colFirst="0" w:colLast="0" w:name="bookmark=kix.yola7uir83us" w:id="4"/>
    <w:bookmarkEnd w:id="4"/>
    <w:p w:rsidR="00000000" w:rsidDel="00000000" w:rsidP="00000000" w:rsidRDefault="00000000" w:rsidRPr="00000000" w14:paraId="0000004C">
      <w:pPr>
        <w:widowControl w:val="0"/>
        <w:tabs>
          <w:tab w:val="left" w:leader="none" w:pos="289"/>
        </w:tabs>
        <w:spacing w:after="0" w:before="0"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Informacja dla Wykonawcy:</w:t>
      </w:r>
    </w:p>
    <w:p w:rsidR="00000000" w:rsidDel="00000000" w:rsidP="00000000" w:rsidRDefault="00000000" w:rsidRPr="00000000" w14:paraId="0000004D">
      <w:pPr>
        <w:widowControl w:val="0"/>
        <w:spacing w:after="0" w:before="0"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9"/>
        </w:numPr>
        <w:tabs>
          <w:tab w:val="left" w:leader="none" w:pos="406"/>
        </w:tabs>
        <w:spacing w:after="0" w:before="0" w:line="276" w:lineRule="auto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obowiązek informacyjny przewidziany w art 13 RODO względem osób fizycznych, których dane osobowe dotyczą i od których dane te wykonawca bezpośrednio pozyskał i przekazał zamawiającemu w treści oferty lub dokumentów składanych na żądanie zamawiającego;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9"/>
        </w:numPr>
        <w:tabs>
          <w:tab w:val="left" w:leader="none" w:pos="406"/>
        </w:tabs>
        <w:spacing w:after="204" w:before="0" w:line="276" w:lineRule="auto"/>
        <w:ind w:lef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obowiązek informacyjny wynikający z art. 14 RODO względem osób fizycznych, których dane Wykonawca pozyskał w sposób pośredni, a które to dane Wykonawca przekazuje Zamawiającemu w treści oferty lub dokumentów składanych na żądanie Zamawiającego.</w:t>
      </w:r>
      <w:r w:rsidDel="00000000" w:rsidR="00000000" w:rsidRPr="00000000">
        <w:rPr>
          <w:rtl w:val="0"/>
        </w:rPr>
      </w:r>
    </w:p>
    <w:bookmarkStart w:colFirst="0" w:colLast="0" w:name="bookmark=kix.jfo625w6s17p" w:id="5"/>
    <w:bookmarkEnd w:id="5"/>
    <w:p w:rsidR="00000000" w:rsidDel="00000000" w:rsidP="00000000" w:rsidRDefault="00000000" w:rsidRPr="00000000" w14:paraId="00000050">
      <w:pPr>
        <w:widowControl w:val="0"/>
        <w:tabs>
          <w:tab w:val="left" w:leader="none" w:pos="289"/>
        </w:tabs>
        <w:spacing w:after="0" w:before="0" w:line="276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Dodatkowa informacja dla osób trzecich</w:t>
      </w:r>
    </w:p>
    <w:p w:rsidR="00000000" w:rsidDel="00000000" w:rsidP="00000000" w:rsidRDefault="00000000" w:rsidRPr="00000000" w14:paraId="00000051">
      <w:pPr>
        <w:spacing w:after="160" w:before="0"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Państwa dane zostały pozyskane w ramach zapytania ofertowego i będą wykorzystywane w zakresie niezbędnym do jego realizacji.</w:t>
      </w:r>
    </w:p>
    <w:p w:rsidR="00000000" w:rsidDel="00000000" w:rsidP="00000000" w:rsidRDefault="00000000" w:rsidRPr="00000000" w14:paraId="00000052">
      <w:pPr>
        <w:spacing w:after="160" w:before="0" w:line="276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before="0" w:line="276" w:lineRule="auto"/>
        <w:jc w:val="lef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8" w:top="1134" w:left="1418" w:right="1418" w:header="567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Courier New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before="0" w:lineRule="auto"/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200" w:before="0" w:lineRule="auto"/>
      <w:jc w:val="righ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200" w:before="0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200" w:before="0" w:lineRule="auto"/>
      <w:jc w:val="lef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drawing>
        <wp:inline distB="0" distT="0" distL="0" distR="0">
          <wp:extent cx="2066925" cy="20669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66925" cy="2066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200" w:before="0" w:lineRule="auto"/>
      <w:jc w:val="center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0" w:firstLine="0"/>
      </w:pPr>
      <w:rPr>
        <w:rFonts w:ascii="Cambria" w:cs="Cambria" w:eastAsia="Cambria" w:hAnsi="Cambria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spacing w:after="120" w:before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  <w:jc w:val="left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15eGrP29IflmRbCQDBAbC6Mtnw==">CgMxLjAyCGguZ2pkZ3hzMgloLjFmb2I5dGUyEGtpeC5nZG9wMzhlenB4OHYyCWguMzBqMHpsbDIQa2l4LnlvbGE3dWlyODN1czIQa2l4LmpmbzYyNXc2czE3cDgAciExMmNRMUpTLVRaRUM1dTZteGtFRi1GUjdhcnB3OHNnS1M=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