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Zapytanie Ofertowe nr NCBR/1/2023 z dn. 16.02.2023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Kierując się zasadą uczciwej konkurencji i równego traktowania wykonawców, a także zasadą efektywnego zarządzania finansami, zwracamy się z prośbą o przedstawienie oferty cenowej </w:t>
        <w:br w:type="textWrapping"/>
        <w:t xml:space="preserve">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Specjalistę ds. dostępności – zatrudnienie na podstawie umowy zlecenia (umowa </w:t>
        <w:br w:type="textWrapping"/>
        <w:t xml:space="preserve">cywilno-prawna) na potrzeby realizacji projektu pn.:  „Poprawa dostępności do kultury oraz aktywizacja osób niepełnosprawnych i wykluczonych społecznie” finansowanego w ramach GOSPOSTRATEG VI/0022/2021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Nie stosuje się przepisów w rozumieniu ustawy z dnia 11 września 2019 r. prawo zamówień publicznych.</w:t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spacing w:after="160" w:before="0" w:lineRule="auto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I. Zamawiający: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Fundacja Widzimy Inaczej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Ul. Anielewicza 18/31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01-032 Warszawa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II. Przedmiot zapytania: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Specjalista ds. dostępności – zatrudnienie na podstawie umowy zlecenia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(umowa cywilno-prawna)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potrzeby realizacji projektu pt.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Poprawa dostępności do kultury oraz aktywizacja osób niepełnosprawnych i wykluczonych społecznie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finansowanego w ramach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GOSPOSTRATEG VI/0022/2021. </w:t>
      </w:r>
    </w:p>
    <w:p w:rsidR="00000000" w:rsidDel="00000000" w:rsidP="00000000" w:rsidRDefault="00000000" w:rsidRPr="00000000" w14:paraId="00000009">
      <w:pPr>
        <w:spacing w:after="0"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Zakres obowiązków: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udział w wizycie studyjnej, udział w spotkaniach zespołu roboczego,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współpraca z ekspertami zatrudnionymi przez Fundację w sprawie opracowania standardu i</w:t>
        <w:br w:type="textWrapping"/>
        <w:t xml:space="preserve">wytycznych i szkoleń e-learningowych,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identyfikacja konkretnych potrzeb dokumentacji używanej w danej JST (Jednostce Samorządu Terytorialnego),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udział w spotkaniach testowych,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udział w spotkaniach z użytkownikami ostatecznymi w danej JST,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współpraca z ekspertami zatrudnionymi przez Fundację w sprawie opracowania standardu i wytycznych,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zbieranie informacji na etapie testowania od pracowników danego JST,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przygotowanie raportu na etapie analizy efektów testowania,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współudział w opracowywaniu ostatecznego rozwiązania w kontekście danej JST, 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współpraca z ekspertami zatrudnionymi przez Fundację w sprawie ostatecznego wdrożenia 3</w:t>
        <w:br w:type="textWrapping"/>
        <w:t xml:space="preserve">elementów rozwiązania w kontekście danego JST,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współudział w przygotowaniu rekomendacji i instrukcji wdrażania rozwiązania,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16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pomoc ekspercka w zakresie wypracowywanego rozwiązania.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Wymiar zatrudnienia:  168 godz. miesięcznie (1 EPC). </w:t>
      </w:r>
    </w:p>
    <w:p w:rsidR="00000000" w:rsidDel="00000000" w:rsidP="00000000" w:rsidRDefault="00000000" w:rsidRPr="00000000" w14:paraId="00000017">
      <w:pPr>
        <w:spacing w:after="400" w:lineRule="auto"/>
        <w:jc w:val="left"/>
        <w:rPr>
          <w:rFonts w:ascii="Calibri" w:cs="Calibri" w:eastAsia="Calibri" w:hAnsi="Calibri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Okres zatrudnienia - do 30.06.2024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Wymagania: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umiejętność sprawnej obsługi komputera weryfikowana poprzez aplikowanie na to stanowisko wyłącznie drogą elektroniczną,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wykształcenie wyższe I lub II stopnia,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3 lata stażu pracy w obszarze dostępności,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powyżej 3 lata doświadczenia zawodowego w zakresie polityki społecznej, nauk medycznych, w szczególności: ochrony zdrowia, współpracy z organizacjami pozarządowymi, pomocy społecznej, koordynacji merytorycznej i finansowej projektów z obszaru pomocy społecznej,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doświadczenie w zakresie tworzenia i wdrażania standardów i wytycznych dostępności,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współudział w przygotowywaniu i wdrażaniu projektów finansowanych ze środków Unii Europejskiej,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3 letnie doświadczenie w zarządzaniu projektami.</w:t>
      </w:r>
    </w:p>
    <w:p w:rsidR="00000000" w:rsidDel="00000000" w:rsidP="00000000" w:rsidRDefault="00000000" w:rsidRPr="00000000" w14:paraId="00000020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Zamawiający wymaga przesłania CV formie załącznika.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III Terminy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Oferty należy składać do 23 lutego 2023 r. do godz. 12:00. Oferty złożone po tym terminie nie będą rozpatrywane.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realizacji przedmiotu Zamówienia: do 30 czerwca 2024 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IV Miejsce i sposób składania ofert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Oferty w odpowiedzi na zapytanie należy złożyć w formie elektronicznej (skan podpisanego dokumentu lub dokumenty podpisane kwalifikowanym podpisem elektronicznym) na adres mailowy: biuro@widzimyinaczej.org.pl</w:t>
      </w:r>
    </w:p>
    <w:p w:rsidR="00000000" w:rsidDel="00000000" w:rsidP="00000000" w:rsidRDefault="00000000" w:rsidRPr="00000000" w14:paraId="00000026">
      <w:pPr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V. Wymagania wobec oferenta</w:t>
      </w:r>
    </w:p>
    <w:p w:rsidR="00000000" w:rsidDel="00000000" w:rsidP="00000000" w:rsidRDefault="00000000" w:rsidRPr="00000000" w14:paraId="00000027">
      <w:pPr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OŚWIADCZENIA I DOKUMENTY POTWIERDZAJĄCE SPEŁNIANIE WARUNKÓW UDZIAŁU: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na potwierdzenie spełniania warunków udziału w postępowaniu składa wraz z ofertą następujące dokumenty i oświadczenia: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ofertowy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braku powiązań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gdy Wykonawca przy wykazywaniu spełniania warunków udziału w postępowaniu będzie powoływał się na potencjał innych podmiotów, które będą brały udział w realizacji części zamówienia, przedkłada także oświadczania dotyczące tego podmiotu w zakresie wymaganym dla Wykonawcy,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VII. Kryteria oceny oferty: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oferty zostanie dokonany na podstawie jednego kryterium: ceny oferty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Wzór określający kryterium wyboru ma postać: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Liczba punktów = (cena minimalna / cena ofertowa) * 100 pkt.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najkorzystniejszą zostanie uznana oferta, która nie podlega odrzuceniu oraz uzyska największą liczbę punktów. Pod uwagę będą brane liczby po zaokrągleniu do dwóch miejsc po przecinku.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Wykonawcy, którzy złożą ofert dodatkowe nie mogą zaoferować cen wyższych niż zaoferowane w złożonych ofertach.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VIII. Załączniki: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1 - Formularz oferty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2 – Oświadczenie o braku powiązań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IX.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dotycząca danych osobowych pozyskanych przez Zamawiającego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Fundację Widzimy Inaczej z siedzibą w Warszawie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color w:val="000000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Pani/Pana danych osobowych zawartych w ofercie oraz wszelkich innych składanych dokumentach  jest Fundacja Widzimy Inaczej, siedziba: ul. Anielewicza 18/31, 01-032 Warszawa, e-mail: biuro@widzimyinaczej.org.pl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Administrator wyznaczył osobę pełniącą zadania Inspektora Ochrony Danych Osobowych i można się z nim skontaktować poprzez adres e-mail: iod@widzimyinaczej.org.pl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Ww. dane osobowe przetwarzane będą na podstawie art. 6 ust. 1 lit. c RODO w celu związanym z przedmiotowym postępowaniem, którego wartość nie przekracza 130 000 zł netto, wyłączonym ze stosowania przepisów ustawy z dnia 11 września 2019 r. Prawo zamówień publicznych (Dz. U. z 2019 poz. 2019 z późn. zm.) prowadzonym w trybie zapytania ofertowego, jak też - jeżeli do tego dojdzie - zawarcia czy wykonania umowy w sprawie realizacji zamówienia stanowiącego przedmiot postępowania.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Odbiorcami danych osobowych mogą być instytucje administracji publicznej, ze środków których finansowane jest zamówienie stanowiące przedmiot zamówienia, powołani biegli zewnętrzni - a w granicach celów ustalonych powyżej - również zewnętrzne kancelarie lub osoby świadczące usługi prawne, a także osoby lub podmioty, którym udostępniona zostanie dokumentacja postępowania w oparciu o przepisy obowiązującego prawa, w szczególności przepisy ustawy z 26 września 2001 r. o dostępie do informacji publicznej (tj. Dz.U.2018.1330 ze zm).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Ww. dane osobowe będą przechowywane: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 okres 4 lat od dnia zakończenia postępowania o udzielenie zamówienia, a jeżeli czas trwania umowy przekracza 4 lata okres przechowywania obejmuje cały okres trwania umowy;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przedawnienia roszczeń.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odniesieniu do ww. danych osobowych decyzje nie będą podejmowane w sposób zautomatyzowany, stosowanie do art. 22 RODO;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Każda osoba fizyczna, której dane osobowe przekazano Zamawiającemu w ofercie i/lub innych dokumentach składanych przez Wykonawcę posiada: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15 RODO prawo dostępu do danych osobowych jej dotyczących;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16 RODO prawo do sprostowania jej danych osobowych*;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18 RODO prawo żądania od administratora ograniczenia przetwarzania danych osobowych z zastrzeżeniem przypadków, o których mowa w art. 18 ust. 2 RODO**;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wniesienia skargi do Prezesa Urzędu Ochrony Danych Osobowych, gdy uzna, że przetwarzanie danych osobowych jej dotyczących narusza przepisy RODO;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żadnej osobie fizycznej, której dane osobowe przekazano Zamawiającemu w ofercie i/lub innych dokumentach składanych przez Wykonawcę nie przysługuje: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związku z art. 17 ust. 3 lit. b, d lub e RODO prawo do usunięcia danych osobowych;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przenoszenia danych osobowych, o którym mowa w art. 20 RODO;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184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21 RODO prawo sprzeciwu, wobec przetwarzania danych osobowych, gdyż podstawą prawną przetwarzania jej danych osobowych jest art. 6 ust. 1 lit. c RODO.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*Wyjaśnienie: skorzystanie z prawa do sprostowania nie może skutkować zmianą wyniku przedmiotowego postępowania ani zmianą postanowień umowy w zakresie niezgodnym z przepisami prawa stanowiącymi podstawę prowadzenia przedmiotowego postępowania.</w:t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dla Wykonawcy: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tabs>
          <w:tab w:val="left" w:leader="none" w:pos="406"/>
        </w:tabs>
        <w:spacing w:after="0" w:before="0" w:line="276" w:lineRule="auto"/>
        <w:ind w:left="0" w:firstLine="0"/>
        <w:jc w:val="left"/>
        <w:rPr/>
      </w:pPr>
      <w:r w:rsidDel="00000000" w:rsidR="00000000" w:rsidRPr="00000000">
        <w:rPr>
          <w:color w:val="000000"/>
          <w:rtl w:val="0"/>
        </w:rPr>
        <w:t xml:space="preserve">obowiązek informacyjny przewidziany w art 13 RODO względem osób fizycznych, których dane osobowe dotyczą i od których dane te wykonawca bezpośrednio pozyskał i przekazał zamawiającemu w treści oferty lub dokumentów składanych na żądanie zamawiającego;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tabs>
          <w:tab w:val="left" w:leader="none" w:pos="406"/>
        </w:tabs>
        <w:spacing w:after="204" w:before="0" w:line="276" w:lineRule="auto"/>
        <w:ind w:left="0" w:firstLine="0"/>
        <w:jc w:val="left"/>
        <w:rPr/>
      </w:pPr>
      <w:r w:rsidDel="00000000" w:rsidR="00000000" w:rsidRPr="00000000">
        <w:rPr>
          <w:color w:val="000000"/>
          <w:rtl w:val="0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Dodatkowa informacja dla osób trzecich</w:t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color w:val="000000"/>
          <w:rtl w:val="0"/>
        </w:rPr>
        <w:t xml:space="preserve">Państwa dane zostały pozyskane w ramach zapytania ofertowego i będą wykorzystywane w zakresie niezbędnym do jego realizacji.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8" w:top="1134" w:left="1418" w:right="1418" w:header="56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678"/>
        <w:tab w:val="center" w:leader="none" w:pos="6663"/>
      </w:tabs>
      <w:spacing w:after="20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66925" cy="20669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1060" cy="16210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>
        <w:rFonts w:ascii="Cambria" w:cs="Cambria" w:eastAsia="Cambria" w:hAnsi="Cambria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